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4A" w:rsidRPr="00BD664D" w:rsidRDefault="00466A4A" w:rsidP="00466A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E17F40" wp14:editId="68DBA0F9">
            <wp:simplePos x="0" y="0"/>
            <wp:positionH relativeFrom="column">
              <wp:posOffset>5095875</wp:posOffset>
            </wp:positionH>
            <wp:positionV relativeFrom="paragraph">
              <wp:posOffset>-180975</wp:posOffset>
            </wp:positionV>
            <wp:extent cx="647700" cy="666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664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Calling Applications - Visiting Lecturers</w:t>
      </w:r>
    </w:p>
    <w:p w:rsidR="00466A4A" w:rsidRPr="00466A4A" w:rsidRDefault="00466A4A" w:rsidP="00466A4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BD664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University College of </w:t>
      </w:r>
      <w:proofErr w:type="spellStart"/>
      <w:r w:rsidRPr="00BD664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Matara</w:t>
      </w:r>
      <w:proofErr w:type="spellEnd"/>
    </w:p>
    <w:p w:rsidR="00742DC5" w:rsidRDefault="00742DC5" w:rsidP="006202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70E6">
        <w:rPr>
          <w:rFonts w:ascii="Times New Roman" w:hAnsi="Times New Roman" w:cs="Times New Roman"/>
          <w:sz w:val="24"/>
          <w:szCs w:val="24"/>
          <w:shd w:val="clear" w:color="auto" w:fill="FFFFFF"/>
        </w:rPr>
        <w:t>Applications are invited from the suitably qualified candidates for the P</w:t>
      </w:r>
      <w:r w:rsidR="00754B0C">
        <w:rPr>
          <w:rFonts w:ascii="Times New Roman" w:hAnsi="Times New Roman" w:cs="Times New Roman"/>
          <w:sz w:val="24"/>
          <w:szCs w:val="24"/>
          <w:shd w:val="clear" w:color="auto" w:fill="FFFFFF"/>
        </w:rPr>
        <w:t>ost of Visiting Lecturer in</w:t>
      </w:r>
      <w:r w:rsidRPr="009C7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4B0C">
        <w:rPr>
          <w:rFonts w:ascii="Times New Roman" w:hAnsi="Times New Roman" w:cs="Times New Roman"/>
          <w:sz w:val="24"/>
          <w:szCs w:val="24"/>
          <w:shd w:val="clear" w:color="auto" w:fill="FFFFFF"/>
        </w:rPr>
        <w:t>NVQ Level V</w:t>
      </w:r>
      <w:r w:rsidR="008B31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NVQ Level VI</w:t>
      </w:r>
      <w:r w:rsidRPr="009C7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following modules </w:t>
      </w:r>
      <w:r w:rsidR="00DA7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University College of </w:t>
      </w:r>
      <w:proofErr w:type="spellStart"/>
      <w:r w:rsidR="00DA77B1">
        <w:rPr>
          <w:rFonts w:ascii="Times New Roman" w:hAnsi="Times New Roman" w:cs="Times New Roman"/>
          <w:sz w:val="24"/>
          <w:szCs w:val="24"/>
          <w:shd w:val="clear" w:color="auto" w:fill="FFFFFF"/>
        </w:rPr>
        <w:t>Matara</w:t>
      </w:r>
      <w:proofErr w:type="spellEnd"/>
      <w:r w:rsidR="00DA77B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D2D3E" w:rsidRPr="009C70E6" w:rsidRDefault="00CD2D3E" w:rsidP="006202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leGrid"/>
        <w:tblW w:w="9379" w:type="dxa"/>
        <w:tblLook w:val="04A0" w:firstRow="1" w:lastRow="0" w:firstColumn="1" w:lastColumn="0" w:noHBand="0" w:noVBand="1"/>
      </w:tblPr>
      <w:tblGrid>
        <w:gridCol w:w="3325"/>
        <w:gridCol w:w="1710"/>
        <w:gridCol w:w="4344"/>
      </w:tblGrid>
      <w:tr w:rsidR="00742DC5" w:rsidRPr="00B31404" w:rsidTr="00F245B6">
        <w:trPr>
          <w:trHeight w:val="300"/>
        </w:trPr>
        <w:tc>
          <w:tcPr>
            <w:tcW w:w="3325" w:type="dxa"/>
            <w:noWrap/>
            <w:hideMark/>
          </w:tcPr>
          <w:p w:rsidR="00742DC5" w:rsidRPr="00B31404" w:rsidRDefault="00742DC5" w:rsidP="00742D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1710" w:type="dxa"/>
            <w:noWrap/>
            <w:hideMark/>
          </w:tcPr>
          <w:p w:rsidR="00742DC5" w:rsidRPr="00B31404" w:rsidRDefault="00742DC5" w:rsidP="00742D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Module Code</w:t>
            </w:r>
          </w:p>
        </w:tc>
        <w:tc>
          <w:tcPr>
            <w:tcW w:w="4344" w:type="dxa"/>
            <w:noWrap/>
            <w:hideMark/>
          </w:tcPr>
          <w:p w:rsidR="00742DC5" w:rsidRPr="00B31404" w:rsidRDefault="00742DC5" w:rsidP="00742D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1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Module Name</w:t>
            </w:r>
          </w:p>
        </w:tc>
      </w:tr>
      <w:tr w:rsidR="00780B51" w:rsidRPr="00B31404" w:rsidTr="00F245B6">
        <w:trPr>
          <w:trHeight w:val="503"/>
        </w:trPr>
        <w:tc>
          <w:tcPr>
            <w:tcW w:w="3325" w:type="dxa"/>
            <w:vMerge w:val="restart"/>
            <w:noWrap/>
          </w:tcPr>
          <w:p w:rsidR="00780B51" w:rsidRPr="00B31404" w:rsidRDefault="00780B51" w:rsidP="00780B5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Cosmetology</w:t>
            </w:r>
          </w:p>
          <w:p w:rsidR="00780B51" w:rsidRPr="00B31404" w:rsidRDefault="00780B51" w:rsidP="00780B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/>
          </w:tcPr>
          <w:p w:rsidR="00780B51" w:rsidRPr="00B31404" w:rsidRDefault="008B3152" w:rsidP="00780B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404">
              <w:rPr>
                <w:rFonts w:ascii="Times New Roman" w:hAnsi="Times New Roman" w:cs="Times New Roman"/>
                <w:sz w:val="24"/>
                <w:szCs w:val="24"/>
              </w:rPr>
              <w:t>O93C001M14</w:t>
            </w:r>
          </w:p>
        </w:tc>
        <w:tc>
          <w:tcPr>
            <w:tcW w:w="4344" w:type="dxa"/>
            <w:noWrap/>
          </w:tcPr>
          <w:p w:rsidR="00780B51" w:rsidRPr="00B31404" w:rsidRDefault="008B3152" w:rsidP="00780B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404">
              <w:rPr>
                <w:rFonts w:ascii="Times New Roman" w:hAnsi="Times New Roman" w:cs="Times New Roman"/>
                <w:sz w:val="24"/>
                <w:szCs w:val="24"/>
              </w:rPr>
              <w:t>Staff training and development</w:t>
            </w:r>
          </w:p>
        </w:tc>
      </w:tr>
      <w:tr w:rsidR="008B3152" w:rsidRPr="00B31404" w:rsidTr="00F245B6">
        <w:trPr>
          <w:trHeight w:val="503"/>
        </w:trPr>
        <w:tc>
          <w:tcPr>
            <w:tcW w:w="3325" w:type="dxa"/>
            <w:vMerge/>
            <w:noWrap/>
          </w:tcPr>
          <w:p w:rsidR="008B3152" w:rsidRPr="00B31404" w:rsidRDefault="008B3152" w:rsidP="00780B5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/>
          </w:tcPr>
          <w:p w:rsidR="008B3152" w:rsidRPr="00B31404" w:rsidRDefault="008B3152" w:rsidP="00780B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404">
              <w:rPr>
                <w:rFonts w:ascii="Times New Roman" w:hAnsi="Times New Roman" w:cs="Times New Roman"/>
                <w:sz w:val="24"/>
                <w:szCs w:val="24"/>
              </w:rPr>
              <w:t>O93C001M06</w:t>
            </w:r>
          </w:p>
        </w:tc>
        <w:tc>
          <w:tcPr>
            <w:tcW w:w="4344" w:type="dxa"/>
            <w:noWrap/>
          </w:tcPr>
          <w:p w:rsidR="008B3152" w:rsidRPr="00B31404" w:rsidRDefault="008B3152" w:rsidP="00780B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404">
              <w:rPr>
                <w:rFonts w:ascii="Times New Roman" w:hAnsi="Times New Roman" w:cs="Times New Roman"/>
                <w:sz w:val="24"/>
                <w:szCs w:val="24"/>
              </w:rPr>
              <w:t>Advance hair treatments and Advanced hair dressing</w:t>
            </w:r>
          </w:p>
        </w:tc>
      </w:tr>
      <w:tr w:rsidR="008B3152" w:rsidRPr="00B31404" w:rsidTr="00F245B6">
        <w:trPr>
          <w:trHeight w:val="503"/>
        </w:trPr>
        <w:tc>
          <w:tcPr>
            <w:tcW w:w="3325" w:type="dxa"/>
            <w:vMerge/>
            <w:noWrap/>
          </w:tcPr>
          <w:p w:rsidR="008B3152" w:rsidRPr="00B31404" w:rsidRDefault="008B3152" w:rsidP="00780B5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/>
          </w:tcPr>
          <w:p w:rsidR="008B3152" w:rsidRPr="00B31404" w:rsidRDefault="008B3152" w:rsidP="00780B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404">
              <w:rPr>
                <w:rFonts w:ascii="Times New Roman" w:hAnsi="Times New Roman" w:cs="Times New Roman"/>
                <w:sz w:val="24"/>
                <w:szCs w:val="24"/>
              </w:rPr>
              <w:t>O93C001M08</w:t>
            </w:r>
          </w:p>
        </w:tc>
        <w:tc>
          <w:tcPr>
            <w:tcW w:w="4344" w:type="dxa"/>
            <w:noWrap/>
          </w:tcPr>
          <w:p w:rsidR="008B3152" w:rsidRPr="00B31404" w:rsidRDefault="008B3152" w:rsidP="00780B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Advanced hand and foot care</w:t>
            </w:r>
          </w:p>
        </w:tc>
      </w:tr>
      <w:tr w:rsidR="00B31404" w:rsidRPr="00B31404" w:rsidTr="00F245B6">
        <w:trPr>
          <w:trHeight w:val="773"/>
        </w:trPr>
        <w:tc>
          <w:tcPr>
            <w:tcW w:w="3325" w:type="dxa"/>
            <w:vMerge w:val="restart"/>
            <w:noWrap/>
          </w:tcPr>
          <w:p w:rsidR="00B31404" w:rsidRPr="00B31404" w:rsidRDefault="00B31404" w:rsidP="00754B0C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Food Technology</w:t>
            </w:r>
          </w:p>
        </w:tc>
        <w:tc>
          <w:tcPr>
            <w:tcW w:w="1710" w:type="dxa"/>
            <w:noWrap/>
          </w:tcPr>
          <w:p w:rsidR="00B31404" w:rsidRPr="00B31404" w:rsidRDefault="00B31404" w:rsidP="00B3140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D15T001M07</w:t>
            </w:r>
          </w:p>
          <w:p w:rsidR="00B31404" w:rsidRPr="00B31404" w:rsidRDefault="00B31404" w:rsidP="00B3140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4" w:type="dxa"/>
            <w:noWrap/>
          </w:tcPr>
          <w:p w:rsidR="00B31404" w:rsidRPr="00B31404" w:rsidRDefault="00B31404" w:rsidP="00754B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31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Resource planning for food processing</w:t>
            </w:r>
            <w:r w:rsidR="00F65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-I</w:t>
            </w:r>
          </w:p>
        </w:tc>
      </w:tr>
      <w:tr w:rsidR="00B31404" w:rsidRPr="00B31404" w:rsidTr="00F245B6">
        <w:trPr>
          <w:trHeight w:val="350"/>
        </w:trPr>
        <w:tc>
          <w:tcPr>
            <w:tcW w:w="3325" w:type="dxa"/>
            <w:vMerge/>
            <w:noWrap/>
          </w:tcPr>
          <w:p w:rsidR="00B31404" w:rsidRPr="00B31404" w:rsidRDefault="00B31404" w:rsidP="00754B0C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/>
          </w:tcPr>
          <w:p w:rsidR="00B31404" w:rsidRPr="00B31404" w:rsidRDefault="00B31404" w:rsidP="00B3140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D15T001M13</w:t>
            </w:r>
          </w:p>
          <w:p w:rsidR="00B31404" w:rsidRPr="00B31404" w:rsidRDefault="00B31404" w:rsidP="00754B0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4" w:type="dxa"/>
            <w:noWrap/>
          </w:tcPr>
          <w:p w:rsidR="00B31404" w:rsidRPr="00B31404" w:rsidRDefault="00B31404" w:rsidP="00754B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31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Basic Statistics for Data Handling</w:t>
            </w:r>
          </w:p>
        </w:tc>
      </w:tr>
      <w:tr w:rsidR="00B31404" w:rsidRPr="00B31404" w:rsidTr="00F245B6">
        <w:trPr>
          <w:trHeight w:val="350"/>
        </w:trPr>
        <w:tc>
          <w:tcPr>
            <w:tcW w:w="3325" w:type="dxa"/>
            <w:vMerge/>
            <w:noWrap/>
          </w:tcPr>
          <w:p w:rsidR="00B31404" w:rsidRPr="00B31404" w:rsidRDefault="00B31404" w:rsidP="00754B0C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/>
          </w:tcPr>
          <w:p w:rsidR="00B31404" w:rsidRPr="00B31404" w:rsidRDefault="00B31404" w:rsidP="00B3140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D15T001M18</w:t>
            </w:r>
          </w:p>
          <w:p w:rsidR="00B31404" w:rsidRPr="00B31404" w:rsidRDefault="00B31404" w:rsidP="00754B0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4" w:type="dxa"/>
            <w:noWrap/>
          </w:tcPr>
          <w:p w:rsidR="00B31404" w:rsidRPr="00B31404" w:rsidRDefault="00B31404" w:rsidP="00754B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31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Advanced technologies in food packaging and packaging </w:t>
            </w:r>
            <w:r w:rsidRPr="00B31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material testing</w:t>
            </w:r>
          </w:p>
        </w:tc>
      </w:tr>
      <w:tr w:rsidR="00B31404" w:rsidRPr="00B31404" w:rsidTr="00F245B6">
        <w:trPr>
          <w:trHeight w:val="350"/>
        </w:trPr>
        <w:tc>
          <w:tcPr>
            <w:tcW w:w="3325" w:type="dxa"/>
            <w:vMerge/>
            <w:noWrap/>
          </w:tcPr>
          <w:p w:rsidR="00B31404" w:rsidRPr="00B31404" w:rsidRDefault="00B31404" w:rsidP="00754B0C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/>
          </w:tcPr>
          <w:p w:rsidR="00B31404" w:rsidRPr="00B31404" w:rsidRDefault="00B31404" w:rsidP="00754B0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D15T001M20</w:t>
            </w:r>
          </w:p>
        </w:tc>
        <w:tc>
          <w:tcPr>
            <w:tcW w:w="4344" w:type="dxa"/>
            <w:noWrap/>
          </w:tcPr>
          <w:p w:rsidR="00B31404" w:rsidRPr="00B31404" w:rsidRDefault="00B31404" w:rsidP="00754B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31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In-factory process and technology improvement</w:t>
            </w:r>
          </w:p>
        </w:tc>
      </w:tr>
      <w:tr w:rsidR="008B3152" w:rsidRPr="00B31404" w:rsidTr="00F245B6">
        <w:trPr>
          <w:trHeight w:val="350"/>
        </w:trPr>
        <w:tc>
          <w:tcPr>
            <w:tcW w:w="3325" w:type="dxa"/>
            <w:noWrap/>
          </w:tcPr>
          <w:p w:rsidR="008B3152" w:rsidRPr="00B31404" w:rsidRDefault="008B3152" w:rsidP="00754B0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Hospitality Management</w:t>
            </w:r>
          </w:p>
        </w:tc>
        <w:tc>
          <w:tcPr>
            <w:tcW w:w="1710" w:type="dxa"/>
            <w:noWrap/>
          </w:tcPr>
          <w:p w:rsidR="008B3152" w:rsidRPr="00B31404" w:rsidRDefault="008B3152" w:rsidP="00754B0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H55T003M11</w:t>
            </w:r>
          </w:p>
        </w:tc>
        <w:tc>
          <w:tcPr>
            <w:tcW w:w="4344" w:type="dxa"/>
            <w:noWrap/>
          </w:tcPr>
          <w:p w:rsidR="008B3152" w:rsidRPr="00B31404" w:rsidRDefault="008B3152" w:rsidP="00754B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31404">
              <w:rPr>
                <w:rFonts w:ascii="Times New Roman" w:hAnsi="Times New Roman" w:cs="Times New Roman"/>
                <w:sz w:val="24"/>
                <w:szCs w:val="24"/>
              </w:rPr>
              <w:t>Kitchen Operations in Hospitality Management-I</w:t>
            </w:r>
          </w:p>
        </w:tc>
      </w:tr>
      <w:tr w:rsidR="00B31404" w:rsidRPr="00B31404" w:rsidTr="00F245B6">
        <w:trPr>
          <w:trHeight w:val="350"/>
        </w:trPr>
        <w:tc>
          <w:tcPr>
            <w:tcW w:w="3325" w:type="dxa"/>
            <w:noWrap/>
          </w:tcPr>
          <w:p w:rsidR="00B31404" w:rsidRPr="00B31404" w:rsidRDefault="00B31404" w:rsidP="00754B0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Refrigeration and Air conditioning Technology</w:t>
            </w:r>
          </w:p>
        </w:tc>
        <w:tc>
          <w:tcPr>
            <w:tcW w:w="1710" w:type="dxa"/>
            <w:noWrap/>
          </w:tcPr>
          <w:p w:rsidR="00B31404" w:rsidRPr="00B31404" w:rsidRDefault="00B31404" w:rsidP="00754B0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G52C001M13</w:t>
            </w:r>
          </w:p>
        </w:tc>
        <w:tc>
          <w:tcPr>
            <w:tcW w:w="4344" w:type="dxa"/>
            <w:noWrap/>
          </w:tcPr>
          <w:p w:rsidR="00B31404" w:rsidRPr="00B31404" w:rsidRDefault="00B31404" w:rsidP="00754B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31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 Team budgets &amp; Financial Plans</w:t>
            </w:r>
          </w:p>
        </w:tc>
      </w:tr>
      <w:tr w:rsidR="00B31404" w:rsidRPr="00B31404" w:rsidTr="00F245B6">
        <w:trPr>
          <w:trHeight w:val="350"/>
        </w:trPr>
        <w:tc>
          <w:tcPr>
            <w:tcW w:w="3325" w:type="dxa"/>
            <w:noWrap/>
          </w:tcPr>
          <w:p w:rsidR="00B31404" w:rsidRPr="00B31404" w:rsidRDefault="00B31404" w:rsidP="00B3140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Quantity Surveying</w:t>
            </w:r>
          </w:p>
          <w:p w:rsidR="00B31404" w:rsidRPr="00B31404" w:rsidRDefault="00B31404" w:rsidP="00B3140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1404" w:rsidRPr="00B31404" w:rsidRDefault="00B31404" w:rsidP="00B3140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1404" w:rsidRPr="00B31404" w:rsidRDefault="00B31404" w:rsidP="00754B0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/>
          </w:tcPr>
          <w:p w:rsidR="00B31404" w:rsidRPr="00B31404" w:rsidRDefault="00B31404" w:rsidP="00754B0C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F45C002M10</w:t>
            </w:r>
          </w:p>
        </w:tc>
        <w:tc>
          <w:tcPr>
            <w:tcW w:w="4344" w:type="dxa"/>
            <w:noWrap/>
          </w:tcPr>
          <w:p w:rsidR="00B31404" w:rsidRPr="00B31404" w:rsidRDefault="00B31404" w:rsidP="00754B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31404">
              <w:rPr>
                <w:rFonts w:ascii="Times New Roman" w:hAnsi="Times New Roman" w:cs="Times New Roman"/>
                <w:sz w:val="24"/>
                <w:szCs w:val="24"/>
              </w:rPr>
              <w:t>Estimating &amp; bidding</w:t>
            </w:r>
          </w:p>
        </w:tc>
      </w:tr>
    </w:tbl>
    <w:p w:rsidR="00585349" w:rsidRDefault="00742DC5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466A4A" w:rsidRPr="00BD664D" w:rsidRDefault="00466A4A" w:rsidP="00046F3A">
      <w:pPr>
        <w:jc w:val="both"/>
        <w:rPr>
          <w:rFonts w:ascii="Times New Roman" w:hAnsi="Times New Roman" w:cs="Times New Roman"/>
          <w:sz w:val="24"/>
          <w:szCs w:val="24"/>
        </w:rPr>
      </w:pPr>
      <w:r w:rsidRPr="00BD664D">
        <w:rPr>
          <w:rFonts w:ascii="Times New Roman" w:hAnsi="Times New Roman" w:cs="Times New Roman"/>
          <w:b/>
          <w:sz w:val="24"/>
          <w:szCs w:val="24"/>
        </w:rPr>
        <w:t>Minimum Qualification</w:t>
      </w:r>
      <w:r w:rsidRPr="00BD664D">
        <w:rPr>
          <w:rFonts w:ascii="Times New Roman" w:hAnsi="Times New Roman" w:cs="Times New Roman"/>
          <w:sz w:val="24"/>
          <w:szCs w:val="24"/>
        </w:rPr>
        <w:t>: Bachelor's Degree in the relevant field.</w:t>
      </w:r>
    </w:p>
    <w:p w:rsidR="00466A4A" w:rsidRPr="00BD664D" w:rsidRDefault="00466A4A" w:rsidP="00046F3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D664D">
        <w:rPr>
          <w:rFonts w:ascii="Times New Roman" w:hAnsi="Times New Roman" w:cs="Times New Roman"/>
          <w:b/>
          <w:sz w:val="24"/>
          <w:szCs w:val="24"/>
        </w:rPr>
        <w:t>Payment procedure</w:t>
      </w:r>
      <w:r w:rsidRPr="00BD664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664D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BD664D">
        <w:rPr>
          <w:rFonts w:ascii="Times New Roman" w:hAnsi="Times New Roman" w:cs="Times New Roman"/>
          <w:sz w:val="24"/>
          <w:szCs w:val="24"/>
        </w:rPr>
        <w:t xml:space="preserve">. 800 per hour for the Bachelor’s Degree and </w:t>
      </w:r>
      <w:proofErr w:type="spellStart"/>
      <w:r w:rsidRPr="00BD664D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BD664D">
        <w:rPr>
          <w:rFonts w:ascii="Times New Roman" w:hAnsi="Times New Roman" w:cs="Times New Roman"/>
          <w:sz w:val="24"/>
          <w:szCs w:val="24"/>
        </w:rPr>
        <w:t>. 1000 per hour for the Masters or Higher qualifications (Government Tax policy will be applied).</w:t>
      </w:r>
    </w:p>
    <w:p w:rsidR="00466A4A" w:rsidRPr="00BD664D" w:rsidRDefault="005035E9" w:rsidP="00046F3A">
      <w:pPr>
        <w:spacing w:before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Application</w:t>
      </w:r>
      <w:bookmarkStart w:id="0" w:name="_GoBack"/>
      <w:bookmarkEnd w:id="0"/>
      <w:r w:rsidR="00466A4A" w:rsidRPr="00BD664D">
        <w:rPr>
          <w:rFonts w:ascii="Times New Roman" w:hAnsi="Times New Roman" w:cs="Times New Roman"/>
          <w:b/>
          <w:sz w:val="24"/>
          <w:szCs w:val="24"/>
        </w:rPr>
        <w:t>Procedure</w:t>
      </w:r>
      <w:r w:rsidR="00466A4A" w:rsidRPr="00BD664D">
        <w:rPr>
          <w:rFonts w:ascii="Times New Roman" w:hAnsi="Times New Roman" w:cs="Times New Roman"/>
          <w:sz w:val="24"/>
          <w:szCs w:val="24"/>
        </w:rPr>
        <w:t>:</w:t>
      </w:r>
      <w:r w:rsidR="00466A4A" w:rsidRPr="00BD664D">
        <w:rPr>
          <w:rFonts w:ascii="Times New Roman" w:hAnsi="Times New Roman" w:cs="Times New Roman"/>
          <w:sz w:val="24"/>
          <w:szCs w:val="24"/>
        </w:rPr>
        <w:br/>
      </w:r>
      <w:r w:rsidR="00466A4A" w:rsidRPr="00BD6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Self-made </w:t>
      </w:r>
      <w:r w:rsidR="00466A4A" w:rsidRPr="00BD664D">
        <w:rPr>
          <w:rFonts w:ascii="Times New Roman" w:hAnsi="Times New Roman" w:cs="Times New Roman"/>
          <w:sz w:val="24"/>
          <w:szCs w:val="24"/>
        </w:rPr>
        <w:t xml:space="preserve">updated CV with certified copies of degree certificate, Transcript, National Identity Card should be submitted by registered post to the “Assistant Registrar, University College of </w:t>
      </w:r>
      <w:proofErr w:type="spellStart"/>
      <w:r w:rsidR="00466A4A" w:rsidRPr="00BD664D">
        <w:rPr>
          <w:rFonts w:ascii="Times New Roman" w:hAnsi="Times New Roman" w:cs="Times New Roman"/>
          <w:sz w:val="24"/>
          <w:szCs w:val="24"/>
        </w:rPr>
        <w:t>Matara</w:t>
      </w:r>
      <w:proofErr w:type="spellEnd"/>
      <w:r w:rsidR="00466A4A" w:rsidRPr="00BD664D">
        <w:rPr>
          <w:rFonts w:ascii="Times New Roman" w:hAnsi="Times New Roman" w:cs="Times New Roman"/>
          <w:sz w:val="24"/>
          <w:szCs w:val="24"/>
        </w:rPr>
        <w:t xml:space="preserve">, No. 690, </w:t>
      </w:r>
      <w:proofErr w:type="spellStart"/>
      <w:r w:rsidR="00466A4A" w:rsidRPr="00BD664D">
        <w:rPr>
          <w:rFonts w:ascii="Times New Roman" w:hAnsi="Times New Roman" w:cs="Times New Roman"/>
          <w:sz w:val="24"/>
          <w:szCs w:val="24"/>
        </w:rPr>
        <w:t>Tangalle</w:t>
      </w:r>
      <w:proofErr w:type="spellEnd"/>
      <w:r w:rsidR="00466A4A" w:rsidRPr="00BD664D">
        <w:rPr>
          <w:rFonts w:ascii="Times New Roman" w:hAnsi="Times New Roman" w:cs="Times New Roman"/>
          <w:sz w:val="24"/>
          <w:szCs w:val="24"/>
        </w:rPr>
        <w:t xml:space="preserve"> Road, </w:t>
      </w:r>
      <w:proofErr w:type="spellStart"/>
      <w:r w:rsidR="00466A4A" w:rsidRPr="00BD664D">
        <w:rPr>
          <w:rFonts w:ascii="Times New Roman" w:hAnsi="Times New Roman" w:cs="Times New Roman"/>
          <w:sz w:val="24"/>
          <w:szCs w:val="24"/>
        </w:rPr>
        <w:t>Meddawatta</w:t>
      </w:r>
      <w:proofErr w:type="spellEnd"/>
      <w:r w:rsidR="00466A4A" w:rsidRPr="00BD66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6A4A" w:rsidRPr="00BD664D">
        <w:rPr>
          <w:rFonts w:ascii="Times New Roman" w:hAnsi="Times New Roman" w:cs="Times New Roman"/>
          <w:sz w:val="24"/>
          <w:szCs w:val="24"/>
        </w:rPr>
        <w:t>Matara</w:t>
      </w:r>
      <w:proofErr w:type="spellEnd"/>
      <w:r w:rsidR="00466A4A" w:rsidRPr="00BD664D">
        <w:rPr>
          <w:rFonts w:ascii="Times New Roman" w:hAnsi="Times New Roman" w:cs="Times New Roman"/>
          <w:sz w:val="24"/>
          <w:szCs w:val="24"/>
        </w:rPr>
        <w:t>.” on or before </w:t>
      </w:r>
      <w:r w:rsidR="008B3152">
        <w:rPr>
          <w:rFonts w:ascii="Times New Roman" w:hAnsi="Times New Roman" w:cs="Times New Roman"/>
          <w:b/>
          <w:sz w:val="24"/>
          <w:szCs w:val="24"/>
        </w:rPr>
        <w:t>26</w:t>
      </w:r>
      <w:r w:rsidR="00466A4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66A4A" w:rsidRPr="00BD66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152">
        <w:rPr>
          <w:rFonts w:ascii="Times New Roman" w:hAnsi="Times New Roman" w:cs="Times New Roman"/>
          <w:b/>
          <w:sz w:val="24"/>
          <w:szCs w:val="24"/>
        </w:rPr>
        <w:t>June</w:t>
      </w:r>
      <w:r w:rsidR="00466A4A" w:rsidRPr="00BD66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A7E">
        <w:rPr>
          <w:rFonts w:ascii="Times New Roman" w:hAnsi="Times New Roman" w:cs="Times New Roman"/>
          <w:b/>
          <w:sz w:val="24"/>
          <w:szCs w:val="24"/>
        </w:rPr>
        <w:t>2026</w:t>
      </w:r>
      <w:r w:rsidR="00337A7E">
        <w:rPr>
          <w:rFonts w:ascii="Times New Roman" w:hAnsi="Times New Roman" w:cs="Times New Roman"/>
          <w:sz w:val="24"/>
          <w:szCs w:val="24"/>
        </w:rPr>
        <w:t>.</w:t>
      </w:r>
    </w:p>
    <w:p w:rsidR="00466A4A" w:rsidRPr="00BD664D" w:rsidRDefault="00466A4A" w:rsidP="00046F3A">
      <w:pPr>
        <w:jc w:val="both"/>
        <w:rPr>
          <w:rFonts w:ascii="Times New Roman" w:hAnsi="Times New Roman" w:cs="Times New Roman"/>
          <w:sz w:val="24"/>
          <w:szCs w:val="24"/>
        </w:rPr>
      </w:pPr>
      <w:r w:rsidRPr="00BD664D">
        <w:rPr>
          <w:rFonts w:ascii="Times New Roman" w:hAnsi="Times New Roman" w:cs="Times New Roman"/>
          <w:sz w:val="24"/>
          <w:szCs w:val="24"/>
        </w:rPr>
        <w:lastRenderedPageBreak/>
        <w:t>The words “</w:t>
      </w:r>
      <w:r w:rsidRPr="00BD664D">
        <w:rPr>
          <w:rFonts w:ascii="Times New Roman" w:hAnsi="Times New Roman" w:cs="Times New Roman"/>
          <w:sz w:val="24"/>
          <w:szCs w:val="24"/>
          <w:u w:val="single"/>
        </w:rPr>
        <w:t xml:space="preserve">Visiting Lecturer Application” with the </w:t>
      </w:r>
      <w:r w:rsidRPr="00BD664D">
        <w:rPr>
          <w:rStyle w:val="Strong"/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</w:rPr>
        <w:t>applied Course, Module code and Module Name</w:t>
      </w:r>
      <w:r w:rsidRPr="00BD664D">
        <w:rPr>
          <w:rFonts w:ascii="Times New Roman" w:hAnsi="Times New Roman" w:cs="Times New Roman"/>
          <w:sz w:val="24"/>
          <w:szCs w:val="24"/>
        </w:rPr>
        <w:t xml:space="preserve"> should be indicated on the top left-hand corner of the envelope.</w:t>
      </w:r>
    </w:p>
    <w:p w:rsidR="00466A4A" w:rsidRPr="00BD664D" w:rsidRDefault="00466A4A" w:rsidP="00046F3A">
      <w:pPr>
        <w:spacing w:before="480" w:after="0"/>
        <w:jc w:val="both"/>
        <w:rPr>
          <w:rFonts w:ascii="Times New Roman" w:hAnsi="Times New Roman" w:cs="Times New Roman"/>
          <w:sz w:val="24"/>
          <w:szCs w:val="24"/>
        </w:rPr>
      </w:pPr>
      <w:r w:rsidRPr="00BD664D">
        <w:rPr>
          <w:rFonts w:ascii="Times New Roman" w:hAnsi="Times New Roman" w:cs="Times New Roman"/>
          <w:sz w:val="24"/>
          <w:szCs w:val="24"/>
        </w:rPr>
        <w:t>Assistant Registrar,</w:t>
      </w:r>
    </w:p>
    <w:p w:rsidR="00466A4A" w:rsidRPr="00BD664D" w:rsidRDefault="00466A4A" w:rsidP="00046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64D">
        <w:rPr>
          <w:rFonts w:ascii="Times New Roman" w:hAnsi="Times New Roman" w:cs="Times New Roman"/>
          <w:sz w:val="24"/>
          <w:szCs w:val="24"/>
        </w:rPr>
        <w:t xml:space="preserve">University College of </w:t>
      </w:r>
      <w:proofErr w:type="spellStart"/>
      <w:r w:rsidRPr="00BD664D">
        <w:rPr>
          <w:rFonts w:ascii="Times New Roman" w:hAnsi="Times New Roman" w:cs="Times New Roman"/>
          <w:sz w:val="24"/>
          <w:szCs w:val="24"/>
        </w:rPr>
        <w:t>Matara</w:t>
      </w:r>
      <w:proofErr w:type="spellEnd"/>
      <w:r w:rsidRPr="00BD664D">
        <w:rPr>
          <w:rFonts w:ascii="Times New Roman" w:hAnsi="Times New Roman" w:cs="Times New Roman"/>
          <w:sz w:val="24"/>
          <w:szCs w:val="24"/>
        </w:rPr>
        <w:t>,</w:t>
      </w:r>
    </w:p>
    <w:p w:rsidR="00466A4A" w:rsidRPr="00BD664D" w:rsidRDefault="00466A4A" w:rsidP="00046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64D">
        <w:rPr>
          <w:rFonts w:ascii="Times New Roman" w:hAnsi="Times New Roman" w:cs="Times New Roman"/>
          <w:sz w:val="24"/>
          <w:szCs w:val="24"/>
        </w:rPr>
        <w:t>No. 690,</w:t>
      </w:r>
    </w:p>
    <w:p w:rsidR="00466A4A" w:rsidRPr="00BD664D" w:rsidRDefault="00466A4A" w:rsidP="00046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664D">
        <w:rPr>
          <w:rFonts w:ascii="Times New Roman" w:hAnsi="Times New Roman" w:cs="Times New Roman"/>
          <w:sz w:val="24"/>
          <w:szCs w:val="24"/>
        </w:rPr>
        <w:t>Tangalle</w:t>
      </w:r>
      <w:proofErr w:type="spellEnd"/>
      <w:r w:rsidRPr="00BD664D">
        <w:rPr>
          <w:rFonts w:ascii="Times New Roman" w:hAnsi="Times New Roman" w:cs="Times New Roman"/>
          <w:sz w:val="24"/>
          <w:szCs w:val="24"/>
        </w:rPr>
        <w:t xml:space="preserve"> Road,</w:t>
      </w:r>
    </w:p>
    <w:p w:rsidR="00466A4A" w:rsidRPr="00BD664D" w:rsidRDefault="00466A4A" w:rsidP="00046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664D">
        <w:rPr>
          <w:rFonts w:ascii="Times New Roman" w:hAnsi="Times New Roman" w:cs="Times New Roman"/>
          <w:sz w:val="24"/>
          <w:szCs w:val="24"/>
        </w:rPr>
        <w:t>Meddawatta</w:t>
      </w:r>
      <w:proofErr w:type="spellEnd"/>
      <w:r w:rsidRPr="00BD664D">
        <w:rPr>
          <w:rFonts w:ascii="Times New Roman" w:hAnsi="Times New Roman" w:cs="Times New Roman"/>
          <w:sz w:val="24"/>
          <w:szCs w:val="24"/>
        </w:rPr>
        <w:t>,</w:t>
      </w:r>
    </w:p>
    <w:p w:rsidR="00466A4A" w:rsidRPr="00BD664D" w:rsidRDefault="00466A4A" w:rsidP="00046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664D">
        <w:rPr>
          <w:rFonts w:ascii="Times New Roman" w:hAnsi="Times New Roman" w:cs="Times New Roman"/>
          <w:sz w:val="24"/>
          <w:szCs w:val="24"/>
        </w:rPr>
        <w:t>Matara</w:t>
      </w:r>
      <w:proofErr w:type="spellEnd"/>
      <w:r w:rsidRPr="00BD664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A77B1" w:rsidRPr="006202D7" w:rsidRDefault="00466A4A" w:rsidP="00046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664D">
        <w:rPr>
          <w:rFonts w:ascii="Times New Roman" w:hAnsi="Times New Roman" w:cs="Times New Roman"/>
          <w:sz w:val="24"/>
          <w:szCs w:val="24"/>
        </w:rPr>
        <w:t>041-2222963.</w:t>
      </w:r>
      <w:proofErr w:type="gramEnd"/>
    </w:p>
    <w:sectPr w:rsidR="00DA77B1" w:rsidRPr="006202D7" w:rsidSect="006202D7">
      <w:pgSz w:w="11907" w:h="16839" w:code="9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0C7" w:rsidRDefault="005330C7" w:rsidP="006202D7">
      <w:pPr>
        <w:spacing w:after="0" w:line="240" w:lineRule="auto"/>
      </w:pPr>
      <w:r>
        <w:separator/>
      </w:r>
    </w:p>
  </w:endnote>
  <w:endnote w:type="continuationSeparator" w:id="0">
    <w:p w:rsidR="005330C7" w:rsidRDefault="005330C7" w:rsidP="0062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0C7" w:rsidRDefault="005330C7" w:rsidP="006202D7">
      <w:pPr>
        <w:spacing w:after="0" w:line="240" w:lineRule="auto"/>
      </w:pPr>
      <w:r>
        <w:separator/>
      </w:r>
    </w:p>
  </w:footnote>
  <w:footnote w:type="continuationSeparator" w:id="0">
    <w:p w:rsidR="005330C7" w:rsidRDefault="005330C7" w:rsidP="00620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C5"/>
    <w:rsid w:val="00046F3A"/>
    <w:rsid w:val="00207AE7"/>
    <w:rsid w:val="002924A4"/>
    <w:rsid w:val="002B43AC"/>
    <w:rsid w:val="00321E4A"/>
    <w:rsid w:val="00337A7E"/>
    <w:rsid w:val="00466A4A"/>
    <w:rsid w:val="005035E9"/>
    <w:rsid w:val="005330C7"/>
    <w:rsid w:val="00551994"/>
    <w:rsid w:val="006202D7"/>
    <w:rsid w:val="00704FA5"/>
    <w:rsid w:val="00742DC5"/>
    <w:rsid w:val="00754B0C"/>
    <w:rsid w:val="00780B51"/>
    <w:rsid w:val="008842CF"/>
    <w:rsid w:val="008B215F"/>
    <w:rsid w:val="008B3152"/>
    <w:rsid w:val="008F0879"/>
    <w:rsid w:val="009554C8"/>
    <w:rsid w:val="009C70E6"/>
    <w:rsid w:val="00B31404"/>
    <w:rsid w:val="00B42D4F"/>
    <w:rsid w:val="00C17A81"/>
    <w:rsid w:val="00CD2D3E"/>
    <w:rsid w:val="00DA77B1"/>
    <w:rsid w:val="00DF3FAE"/>
    <w:rsid w:val="00E97311"/>
    <w:rsid w:val="00F245B6"/>
    <w:rsid w:val="00F65706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087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2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2D7"/>
  </w:style>
  <w:style w:type="paragraph" w:styleId="Footer">
    <w:name w:val="footer"/>
    <w:basedOn w:val="Normal"/>
    <w:link w:val="FooterChar"/>
    <w:uiPriority w:val="99"/>
    <w:unhideWhenUsed/>
    <w:rsid w:val="0062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2D7"/>
  </w:style>
  <w:style w:type="table" w:styleId="TableGrid">
    <w:name w:val="Table Grid"/>
    <w:basedOn w:val="TableNormal"/>
    <w:uiPriority w:val="39"/>
    <w:rsid w:val="00F24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087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2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2D7"/>
  </w:style>
  <w:style w:type="paragraph" w:styleId="Footer">
    <w:name w:val="footer"/>
    <w:basedOn w:val="Normal"/>
    <w:link w:val="FooterChar"/>
    <w:uiPriority w:val="99"/>
    <w:unhideWhenUsed/>
    <w:rsid w:val="0062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2D7"/>
  </w:style>
  <w:style w:type="table" w:styleId="TableGrid">
    <w:name w:val="Table Grid"/>
    <w:basedOn w:val="TableNormal"/>
    <w:uiPriority w:val="39"/>
    <w:rsid w:val="00F24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9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Dinusha</dc:creator>
  <cp:keywords/>
  <dc:description/>
  <cp:lastModifiedBy>TOSHIBA PC</cp:lastModifiedBy>
  <cp:revision>16</cp:revision>
  <dcterms:created xsi:type="dcterms:W3CDTF">2025-01-07T09:51:00Z</dcterms:created>
  <dcterms:modified xsi:type="dcterms:W3CDTF">2026-06-19T16:17:00Z</dcterms:modified>
</cp:coreProperties>
</file>